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(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),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(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),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here and have a bit of a chat,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love 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Okay.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unceded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Paralympian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powerlifting,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powerlifting,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dysphoria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Paralympian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Paralympians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pedestalling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Paralympian.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Correct.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inequities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Paralympian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'90s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love it.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Paralympian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wonderful.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Like you said,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hassle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think it was a step outside of that comfort zone, even though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It was 30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Yes.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No, it's true.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this.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introverted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introverted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best we could do.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he's a little one.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yeah.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goodness.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Yeah.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Oh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00:15:49]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Really?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 my goodness.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We were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"Whoa. Zed's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Like, "This feels weird."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Anyway, so I had to get us-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feel sometimes when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00:16:35]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then I turned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work.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me about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cahoots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bananas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bananas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 my gosh.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00:19:02]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when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games.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love it. I love it.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He always has been. And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Yes.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mean?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grudges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going to go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God.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blinkies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javelin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javelin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Right.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That's right.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2SLGBTQIA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+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Thank you.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 Murby: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Central_Bark_A_GDB_Podcast_Ness_Murby_REVISED (Completed  06/14/23)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14,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