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Loberti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 gala last year,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big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How do you know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know. It really makes sense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Aww, she chose you.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while. It took us a few days to match. To match was hard.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Right,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don't know if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oh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life.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 I can totally relate to all of that. Yes,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So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campus.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blindness,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hold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those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Now,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00:13:06]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I'm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upheaval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bellissima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quarantine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upheaval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UNICEF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tell us about that. I love to-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UNICEF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encounter one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to be respectful and of 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 grandma.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hegemonic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really like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Blind isn't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visionness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L'Occitane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L'Occitane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shampoo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biodegradable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involvement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enamored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if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told you about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In pearls.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advice.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00:27:18]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I would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wink.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Wink,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open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this is over.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always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it does. That's 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Central_Bark_Aria_Mia_Loberti_Revision (Completed  10/20/23)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20,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