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Meisner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It's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years.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actually a little over two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Time flies.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how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 does.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layers.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nonetheless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exceedingly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clever, Larry, I like it. I like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great. Because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huge. And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Francis Hotel.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 course. Of course.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September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00:12:19]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incumbent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heartwarming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amazing.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true.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lmeisner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plethora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if people want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we're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Larry Meisner: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happy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Central_Bark_GDB_Fundraising_Mix (Completed  09/03/24)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03,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